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45" w:rsidRPr="00055F85" w:rsidRDefault="00055F85">
      <w:pPr>
        <w:pStyle w:val="Standard"/>
        <w:rPr>
          <w:rFonts w:ascii="Calibri" w:hAnsi="Calibri"/>
          <w:b/>
          <w:lang w:val="en-GB"/>
        </w:rPr>
      </w:pPr>
      <w:r w:rsidRPr="00055F85">
        <w:rPr>
          <w:rFonts w:ascii="Calibri" w:hAnsi="Calibri"/>
          <w:b/>
          <w:lang w:val="en-GB"/>
        </w:rPr>
        <w:t>Another ‘elephant in the room’: ‘ethical practice’, the therapeutic alliance and CJS legitimacy</w:t>
      </w:r>
    </w:p>
    <w:p w:rsidR="00055F85" w:rsidRDefault="00055F85">
      <w:pPr>
        <w:pStyle w:val="Standard"/>
        <w:rPr>
          <w:lang w:val="en-GB"/>
        </w:rPr>
      </w:pPr>
    </w:p>
    <w:p w:rsidR="00055F85" w:rsidRPr="00055F85" w:rsidRDefault="00055F85">
      <w:pPr>
        <w:pStyle w:val="Standard"/>
        <w:rPr>
          <w:rFonts w:ascii="Calibri" w:hAnsi="Calibri"/>
          <w:lang w:val="en-GB"/>
        </w:rPr>
      </w:pPr>
    </w:p>
    <w:p w:rsidR="002972F8" w:rsidRPr="00E87D64" w:rsidRDefault="002972F8" w:rsidP="002972F8">
      <w:pPr>
        <w:pStyle w:val="Standard"/>
        <w:jc w:val="both"/>
        <w:rPr>
          <w:rFonts w:ascii="Calibri" w:hAnsi="Calibri"/>
          <w:lang w:val="en-GB"/>
        </w:rPr>
      </w:pPr>
      <w:r w:rsidRPr="00E87D64">
        <w:rPr>
          <w:rFonts w:ascii="Calibri" w:hAnsi="Calibri"/>
          <w:lang w:val="en-GB"/>
        </w:rPr>
        <w:t xml:space="preserve">One thing in common most offender treatment methods have is that they refer to </w:t>
      </w:r>
      <w:r w:rsidR="000B1E4C" w:rsidRPr="00E87D64">
        <w:rPr>
          <w:rFonts w:ascii="Calibri" w:hAnsi="Calibri"/>
          <w:lang w:val="en-GB"/>
        </w:rPr>
        <w:t>‘</w:t>
      </w:r>
      <w:r w:rsidRPr="00E87D64">
        <w:rPr>
          <w:rFonts w:ascii="Calibri" w:hAnsi="Calibri"/>
          <w:lang w:val="en-GB"/>
        </w:rPr>
        <w:t>ethical</w:t>
      </w:r>
      <w:r w:rsidR="000B1E4C" w:rsidRPr="00E87D64">
        <w:rPr>
          <w:rFonts w:ascii="Calibri" w:hAnsi="Calibri"/>
          <w:lang w:val="en-GB"/>
        </w:rPr>
        <w:t>’</w:t>
      </w:r>
      <w:r w:rsidRPr="00E87D64">
        <w:rPr>
          <w:rFonts w:ascii="Calibri" w:hAnsi="Calibri"/>
          <w:lang w:val="en-GB"/>
        </w:rPr>
        <w:t xml:space="preserve"> practice. Europe has seen various </w:t>
      </w:r>
      <w:r w:rsidR="00506BAA" w:rsidRPr="00E87D64">
        <w:rPr>
          <w:rFonts w:ascii="Calibri" w:hAnsi="Calibri"/>
          <w:lang w:val="en-GB"/>
        </w:rPr>
        <w:t xml:space="preserve">soft law </w:t>
      </w:r>
      <w:r w:rsidRPr="00E87D64">
        <w:rPr>
          <w:rFonts w:ascii="Calibri" w:hAnsi="Calibri"/>
          <w:lang w:val="en-GB"/>
        </w:rPr>
        <w:t>ethical guidelines (European Probation Rules; Probation Institute’s Code of Ethics) lay down very</w:t>
      </w:r>
      <w:bookmarkStart w:id="0" w:name="_GoBack"/>
      <w:bookmarkEnd w:id="0"/>
      <w:r w:rsidRPr="00E87D64">
        <w:rPr>
          <w:rFonts w:ascii="Calibri" w:hAnsi="Calibri"/>
          <w:lang w:val="en-GB"/>
        </w:rPr>
        <w:t xml:space="preserve"> general principles. Most treatment methods also recommend a ‘therapeutic alliance’ is </w:t>
      </w:r>
      <w:r w:rsidR="000B1E4C" w:rsidRPr="00E87D64">
        <w:rPr>
          <w:rFonts w:ascii="Calibri" w:hAnsi="Calibri"/>
          <w:lang w:val="en-GB"/>
        </w:rPr>
        <w:t>built</w:t>
      </w:r>
      <w:r w:rsidRPr="00E87D64">
        <w:rPr>
          <w:rFonts w:ascii="Calibri" w:hAnsi="Calibri"/>
          <w:lang w:val="en-GB"/>
        </w:rPr>
        <w:t xml:space="preserve"> bet</w:t>
      </w:r>
      <w:r w:rsidR="000B1E4C" w:rsidRPr="00E87D64">
        <w:rPr>
          <w:rFonts w:ascii="Calibri" w:hAnsi="Calibri"/>
          <w:lang w:val="en-GB"/>
        </w:rPr>
        <w:t>ween practitioner and client</w:t>
      </w:r>
      <w:r w:rsidR="00506BAA" w:rsidRPr="00E87D64">
        <w:rPr>
          <w:rFonts w:ascii="Calibri" w:hAnsi="Calibri"/>
          <w:lang w:val="en-GB"/>
        </w:rPr>
        <w:t xml:space="preserve">; in spite of the fact that said treatment is usually court mandated and involuntary. </w:t>
      </w:r>
    </w:p>
    <w:p w:rsidR="002972F8" w:rsidRPr="00E87D64" w:rsidRDefault="002972F8" w:rsidP="002972F8">
      <w:pPr>
        <w:pStyle w:val="Standard"/>
        <w:jc w:val="both"/>
        <w:rPr>
          <w:rFonts w:ascii="Calibri" w:hAnsi="Calibri"/>
          <w:lang w:val="en-GB"/>
        </w:rPr>
      </w:pPr>
      <w:r w:rsidRPr="00E87D64">
        <w:rPr>
          <w:rFonts w:ascii="Calibri" w:hAnsi="Calibri"/>
          <w:lang w:val="en-GB"/>
        </w:rPr>
        <w:t xml:space="preserve">However ‘one cannot legislate kindness’ (van Zyl Smit </w:t>
      </w:r>
      <w:r w:rsidR="00E87D64" w:rsidRPr="00E87D64">
        <w:rPr>
          <w:rFonts w:ascii="Calibri" w:hAnsi="Calibri"/>
          <w:lang w:val="en-GB"/>
        </w:rPr>
        <w:t>et al.</w:t>
      </w:r>
      <w:r w:rsidRPr="00E87D64">
        <w:rPr>
          <w:rFonts w:ascii="Calibri" w:hAnsi="Calibri"/>
          <w:lang w:val="en-GB"/>
        </w:rPr>
        <w:t>, 2015) and this is putting one’s blind faith in ‘Who Works’ (the</w:t>
      </w:r>
      <w:r w:rsidR="000B1E4C" w:rsidRPr="00E87D64">
        <w:rPr>
          <w:rFonts w:ascii="Calibri" w:hAnsi="Calibri"/>
          <w:lang w:val="en-GB"/>
        </w:rPr>
        <w:t xml:space="preserve"> </w:t>
      </w:r>
      <w:r w:rsidRPr="00E87D64">
        <w:rPr>
          <w:rFonts w:ascii="Calibri" w:hAnsi="Calibri"/>
          <w:lang w:val="en-GB"/>
        </w:rPr>
        <w:t>‘elephant in the room’</w:t>
      </w:r>
      <w:r w:rsidR="00E87D64" w:rsidRPr="00E87D64">
        <w:rPr>
          <w:rFonts w:ascii="Calibri" w:hAnsi="Calibri"/>
          <w:lang w:val="en-GB"/>
        </w:rPr>
        <w:t xml:space="preserve">: </w:t>
      </w:r>
      <w:proofErr w:type="spellStart"/>
      <w:r w:rsidRPr="00E87D64">
        <w:rPr>
          <w:rFonts w:ascii="Calibri" w:eastAsia="Calibri" w:hAnsi="Calibri" w:cs="Calibri"/>
          <w:lang w:val="en-GB"/>
        </w:rPr>
        <w:t>Paparozzi</w:t>
      </w:r>
      <w:proofErr w:type="spellEnd"/>
      <w:r w:rsidRPr="00E87D64">
        <w:rPr>
          <w:rFonts w:ascii="Calibri" w:eastAsia="Calibri" w:hAnsi="Calibri" w:cs="Calibri"/>
          <w:lang w:val="en-GB"/>
        </w:rPr>
        <w:t xml:space="preserve"> and Guy, 2015)</w:t>
      </w:r>
      <w:r w:rsidRPr="00E87D64">
        <w:rPr>
          <w:rFonts w:ascii="Calibri" w:hAnsi="Calibri"/>
          <w:lang w:val="en-GB"/>
        </w:rPr>
        <w:t xml:space="preserve"> and </w:t>
      </w:r>
      <w:r w:rsidR="000B1E4C" w:rsidRPr="00E87D64">
        <w:rPr>
          <w:rFonts w:ascii="Calibri" w:hAnsi="Calibri"/>
          <w:lang w:val="en-GB"/>
        </w:rPr>
        <w:t xml:space="preserve">in </w:t>
      </w:r>
      <w:r w:rsidRPr="00E87D64">
        <w:rPr>
          <w:rFonts w:ascii="Calibri" w:hAnsi="Calibri"/>
          <w:lang w:val="en-GB"/>
        </w:rPr>
        <w:t xml:space="preserve">institutions. </w:t>
      </w:r>
      <w:r w:rsidR="000B1E4C" w:rsidRPr="00E87D64">
        <w:rPr>
          <w:rFonts w:ascii="Calibri" w:hAnsi="Calibri"/>
          <w:lang w:val="en-GB"/>
        </w:rPr>
        <w:t>It simply assume</w:t>
      </w:r>
      <w:r w:rsidR="00E87D64" w:rsidRPr="00E87D64">
        <w:rPr>
          <w:rFonts w:ascii="Calibri" w:hAnsi="Calibri"/>
          <w:lang w:val="en-GB"/>
        </w:rPr>
        <w:t>s</w:t>
      </w:r>
      <w:r w:rsidR="000B1E4C" w:rsidRPr="00E87D64">
        <w:rPr>
          <w:rFonts w:ascii="Calibri" w:hAnsi="Calibri"/>
          <w:lang w:val="en-GB"/>
        </w:rPr>
        <w:t xml:space="preserve"> that probation staff and institutions are intrinsically moral and always make good. Yet, scholars increasingly accept the reality that probation is not necessarily painless</w:t>
      </w:r>
      <w:r w:rsidR="00E87D64" w:rsidRPr="00E87D64">
        <w:rPr>
          <w:rFonts w:ascii="Calibri" w:hAnsi="Calibri"/>
          <w:lang w:val="en-GB"/>
        </w:rPr>
        <w:t xml:space="preserve"> (</w:t>
      </w:r>
      <w:proofErr w:type="spellStart"/>
      <w:r w:rsidR="00E87D64" w:rsidRPr="00E87D64">
        <w:rPr>
          <w:rFonts w:ascii="Calibri" w:hAnsi="Calibri"/>
          <w:lang w:val="en-GB"/>
        </w:rPr>
        <w:t>Durnescu</w:t>
      </w:r>
      <w:proofErr w:type="spellEnd"/>
      <w:r w:rsidR="00E87D64" w:rsidRPr="00E87D64">
        <w:rPr>
          <w:rFonts w:ascii="Calibri" w:hAnsi="Calibri"/>
          <w:lang w:val="en-GB"/>
        </w:rPr>
        <w:t>, 2011)</w:t>
      </w:r>
      <w:r w:rsidR="000B1E4C" w:rsidRPr="00E87D64">
        <w:rPr>
          <w:rFonts w:ascii="Calibri" w:hAnsi="Calibri"/>
          <w:lang w:val="en-GB"/>
        </w:rPr>
        <w:t xml:space="preserve">, </w:t>
      </w:r>
      <w:r w:rsidR="00E87D64" w:rsidRPr="00E87D64">
        <w:rPr>
          <w:rFonts w:ascii="Calibri" w:hAnsi="Calibri"/>
          <w:lang w:val="en-GB"/>
        </w:rPr>
        <w:t xml:space="preserve">and </w:t>
      </w:r>
      <w:r w:rsidR="000B1E4C" w:rsidRPr="00E87D64">
        <w:rPr>
          <w:rFonts w:ascii="Calibri" w:hAnsi="Calibri"/>
          <w:lang w:val="en-GB"/>
        </w:rPr>
        <w:t>does not necessarily achieve bigger picture good (</w:t>
      </w:r>
      <w:proofErr w:type="spellStart"/>
      <w:r w:rsidR="000B1E4C" w:rsidRPr="00E87D64">
        <w:rPr>
          <w:rFonts w:ascii="Calibri" w:hAnsi="Calibri"/>
          <w:lang w:val="en-GB"/>
        </w:rPr>
        <w:t>Phelbs</w:t>
      </w:r>
      <w:proofErr w:type="spellEnd"/>
      <w:r w:rsidR="000B1E4C" w:rsidRPr="00E87D64">
        <w:rPr>
          <w:rFonts w:ascii="Calibri" w:hAnsi="Calibri"/>
          <w:lang w:val="en-GB"/>
        </w:rPr>
        <w:t xml:space="preserve">, 2013; Robinson et al., 2013). It cannot be </w:t>
      </w:r>
      <w:r w:rsidR="00E87D64" w:rsidRPr="00E87D64">
        <w:rPr>
          <w:rFonts w:ascii="Calibri" w:hAnsi="Calibri"/>
          <w:lang w:val="en-GB"/>
        </w:rPr>
        <w:t xml:space="preserve">presumed </w:t>
      </w:r>
      <w:r w:rsidR="000B1E4C" w:rsidRPr="00E87D64">
        <w:rPr>
          <w:rFonts w:ascii="Calibri" w:hAnsi="Calibri"/>
          <w:lang w:val="en-GB"/>
        </w:rPr>
        <w:t xml:space="preserve">that people, institutions, and procedures are secondary ‘non-programmatic’ factors. </w:t>
      </w:r>
    </w:p>
    <w:p w:rsidR="00506BAA" w:rsidRPr="00E87D64" w:rsidRDefault="002972F8" w:rsidP="002972F8">
      <w:pPr>
        <w:pStyle w:val="Standard"/>
        <w:jc w:val="both"/>
        <w:rPr>
          <w:rFonts w:ascii="Calibri" w:hAnsi="Calibri"/>
          <w:lang w:val="en-GB"/>
        </w:rPr>
      </w:pPr>
      <w:r w:rsidRPr="00E87D64">
        <w:rPr>
          <w:rFonts w:ascii="Calibri" w:hAnsi="Calibri"/>
          <w:lang w:val="en-GB"/>
        </w:rPr>
        <w:t xml:space="preserve">However, no democratic legal system ever relies on general statements in order to ensure these principles are observed in ‘real life’ situations. </w:t>
      </w:r>
      <w:r w:rsidR="00E87D64" w:rsidRPr="00E87D64">
        <w:rPr>
          <w:rFonts w:ascii="Calibri" w:hAnsi="Calibri"/>
          <w:lang w:val="en-GB"/>
        </w:rPr>
        <w:t>Such systems require</w:t>
      </w:r>
      <w:r w:rsidRPr="00E87D64">
        <w:rPr>
          <w:rFonts w:ascii="Calibri" w:hAnsi="Calibri"/>
          <w:lang w:val="en-GB"/>
        </w:rPr>
        <w:t xml:space="preserve"> </w:t>
      </w:r>
      <w:r w:rsidR="00506BAA" w:rsidRPr="00E87D64">
        <w:rPr>
          <w:rFonts w:ascii="Calibri" w:hAnsi="Calibri"/>
          <w:lang w:val="en-GB"/>
        </w:rPr>
        <w:t xml:space="preserve">consent, </w:t>
      </w:r>
      <w:r w:rsidRPr="00E87D64">
        <w:rPr>
          <w:rFonts w:ascii="Calibri" w:hAnsi="Calibri"/>
          <w:lang w:val="en-GB"/>
        </w:rPr>
        <w:t xml:space="preserve">proof, defence, </w:t>
      </w:r>
      <w:r w:rsidR="00E87D64" w:rsidRPr="00E87D64">
        <w:rPr>
          <w:rFonts w:ascii="Calibri" w:hAnsi="Calibri"/>
          <w:lang w:val="en-GB"/>
        </w:rPr>
        <w:t>legal action</w:t>
      </w:r>
      <w:r w:rsidR="00506BAA" w:rsidRPr="00E87D64">
        <w:rPr>
          <w:rFonts w:ascii="Calibri" w:hAnsi="Calibri"/>
          <w:lang w:val="en-GB"/>
        </w:rPr>
        <w:t xml:space="preserve"> and </w:t>
      </w:r>
      <w:r w:rsidRPr="00E87D64">
        <w:rPr>
          <w:rFonts w:ascii="Calibri" w:hAnsi="Calibri"/>
          <w:lang w:val="en-GB"/>
        </w:rPr>
        <w:t>appeal</w:t>
      </w:r>
      <w:r w:rsidR="00506BAA" w:rsidRPr="00E87D64">
        <w:rPr>
          <w:rFonts w:ascii="Calibri" w:hAnsi="Calibri"/>
          <w:lang w:val="en-GB"/>
        </w:rPr>
        <w:t>, access to the file, and</w:t>
      </w:r>
      <w:r w:rsidRPr="00E87D64">
        <w:rPr>
          <w:rFonts w:ascii="Calibri" w:hAnsi="Calibri"/>
          <w:lang w:val="en-GB"/>
        </w:rPr>
        <w:t xml:space="preserve"> to a unifying supreme court, along with </w:t>
      </w:r>
      <w:proofErr w:type="spellStart"/>
      <w:r w:rsidRPr="00E87D64">
        <w:rPr>
          <w:rFonts w:ascii="Calibri" w:hAnsi="Calibri"/>
          <w:lang w:val="en-GB"/>
        </w:rPr>
        <w:t>adversialism</w:t>
      </w:r>
      <w:proofErr w:type="spellEnd"/>
      <w:r w:rsidRPr="00E87D64">
        <w:rPr>
          <w:rFonts w:ascii="Calibri" w:hAnsi="Calibri"/>
          <w:lang w:val="en-GB"/>
        </w:rPr>
        <w:t xml:space="preserve"> (or the continental softer equivalent ‘</w:t>
      </w:r>
      <w:proofErr w:type="spellStart"/>
      <w:r w:rsidRPr="00E87D64">
        <w:rPr>
          <w:rFonts w:ascii="Calibri" w:hAnsi="Calibri"/>
          <w:i/>
          <w:lang w:val="en-GB"/>
        </w:rPr>
        <w:t>contradictoire</w:t>
      </w:r>
      <w:proofErr w:type="spellEnd"/>
      <w:r w:rsidRPr="00E87D64">
        <w:rPr>
          <w:rFonts w:ascii="Calibri" w:hAnsi="Calibri"/>
          <w:i/>
          <w:lang w:val="en-GB"/>
        </w:rPr>
        <w:t>’</w:t>
      </w:r>
      <w:r w:rsidRPr="00E87D64">
        <w:rPr>
          <w:rFonts w:ascii="Calibri" w:hAnsi="Calibri"/>
          <w:lang w:val="en-GB"/>
        </w:rPr>
        <w:t xml:space="preserve">). </w:t>
      </w:r>
      <w:r w:rsidR="00506BAA" w:rsidRPr="00E87D64">
        <w:rPr>
          <w:rFonts w:ascii="Calibri" w:hAnsi="Calibri"/>
          <w:lang w:val="en-GB"/>
        </w:rPr>
        <w:t>It is time legal constraints and safeguards are put in place in order to ensure</w:t>
      </w:r>
      <w:r w:rsidR="00E87D64" w:rsidRPr="00E87D64">
        <w:rPr>
          <w:rFonts w:ascii="Calibri" w:hAnsi="Calibri"/>
          <w:lang w:val="en-GB"/>
        </w:rPr>
        <w:t xml:space="preserve"> that</w:t>
      </w:r>
      <w:r w:rsidR="00506BAA" w:rsidRPr="00E87D64">
        <w:rPr>
          <w:rFonts w:ascii="Calibri" w:hAnsi="Calibri"/>
          <w:lang w:val="en-GB"/>
        </w:rPr>
        <w:t xml:space="preserve"> due process rules are woven into the use of risk assessment tools and programmes; that they should be submitted to the same burden of proof as any other criminal justice system action</w:t>
      </w:r>
      <w:r w:rsidR="00E87D64" w:rsidRPr="00E87D64">
        <w:rPr>
          <w:rFonts w:ascii="Calibri" w:hAnsi="Calibri"/>
          <w:lang w:val="en-GB"/>
        </w:rPr>
        <w:t>; t</w:t>
      </w:r>
      <w:r w:rsidR="00506BAA" w:rsidRPr="00E87D64">
        <w:rPr>
          <w:rFonts w:ascii="Calibri" w:hAnsi="Calibri"/>
          <w:lang w:val="en-GB"/>
        </w:rPr>
        <w:t>ime</w:t>
      </w:r>
      <w:r w:rsidR="000B1E4C" w:rsidRPr="00E87D64">
        <w:rPr>
          <w:rFonts w:ascii="Calibri" w:hAnsi="Calibri"/>
          <w:lang w:val="en-GB"/>
        </w:rPr>
        <w:t xml:space="preserve"> probation </w:t>
      </w:r>
      <w:r w:rsidR="00506BAA" w:rsidRPr="00E87D64">
        <w:rPr>
          <w:rFonts w:ascii="Calibri" w:hAnsi="Calibri"/>
          <w:lang w:val="en-GB"/>
        </w:rPr>
        <w:t xml:space="preserve">institutions </w:t>
      </w:r>
      <w:r w:rsidR="000B1E4C" w:rsidRPr="00E87D64">
        <w:rPr>
          <w:rFonts w:ascii="Calibri" w:hAnsi="Calibri"/>
          <w:lang w:val="en-GB"/>
        </w:rPr>
        <w:t>are submitted to the same strict</w:t>
      </w:r>
      <w:r w:rsidR="00506BAA" w:rsidRPr="00E87D64">
        <w:rPr>
          <w:rFonts w:ascii="Calibri" w:hAnsi="Calibri"/>
          <w:lang w:val="en-GB"/>
        </w:rPr>
        <w:t xml:space="preserve"> </w:t>
      </w:r>
      <w:r w:rsidR="000B1E4C" w:rsidRPr="00E87D64">
        <w:rPr>
          <w:rFonts w:ascii="Calibri" w:hAnsi="Calibri"/>
          <w:lang w:val="en-GB"/>
        </w:rPr>
        <w:t xml:space="preserve">level of control that has increasingly been required of prison services in European legal systems. </w:t>
      </w:r>
    </w:p>
    <w:p w:rsidR="00506BAA" w:rsidRPr="00E87D64" w:rsidRDefault="00506BAA" w:rsidP="002972F8">
      <w:pPr>
        <w:pStyle w:val="Standard"/>
        <w:jc w:val="both"/>
        <w:rPr>
          <w:rFonts w:ascii="Calibri" w:hAnsi="Calibri"/>
          <w:lang w:val="en-GB"/>
        </w:rPr>
      </w:pPr>
    </w:p>
    <w:p w:rsidR="00506BAA" w:rsidRPr="00E87D64" w:rsidRDefault="00506BAA" w:rsidP="002972F8">
      <w:pPr>
        <w:pStyle w:val="Standard"/>
        <w:jc w:val="both"/>
        <w:rPr>
          <w:rFonts w:ascii="Calibri" w:hAnsi="Calibri"/>
          <w:lang w:val="en-GB"/>
        </w:rPr>
      </w:pPr>
    </w:p>
    <w:p w:rsidR="002972F8" w:rsidRPr="00E87D64" w:rsidRDefault="00E87D64" w:rsidP="002972F8">
      <w:pPr>
        <w:pStyle w:val="Standard"/>
        <w:jc w:val="both"/>
        <w:rPr>
          <w:rFonts w:ascii="Calibri" w:hAnsi="Calibri"/>
          <w:b/>
          <w:lang w:val="en-GB"/>
        </w:rPr>
      </w:pPr>
      <w:r w:rsidRPr="00E87D64">
        <w:rPr>
          <w:rFonts w:ascii="Calibri" w:hAnsi="Calibri"/>
          <w:b/>
          <w:lang w:val="en-GB"/>
        </w:rPr>
        <w:t xml:space="preserve">References </w:t>
      </w:r>
    </w:p>
    <w:p w:rsidR="00E87D64" w:rsidRPr="00E87D64" w:rsidRDefault="00E87D64" w:rsidP="000B1E4C">
      <w:pPr>
        <w:jc w:val="both"/>
        <w:rPr>
          <w:rFonts w:ascii="Calibri" w:eastAsia="Calibri" w:hAnsi="Calibri" w:cs="Calibri"/>
          <w:lang w:val="en-GB"/>
        </w:rPr>
      </w:pPr>
      <w:proofErr w:type="spellStart"/>
      <w:r w:rsidRPr="00E87D64">
        <w:rPr>
          <w:rFonts w:ascii="Calibri" w:eastAsia="Calibri" w:hAnsi="Calibri" w:cs="Calibri"/>
          <w:lang w:val="en-GB"/>
        </w:rPr>
        <w:t>Durnescu</w:t>
      </w:r>
      <w:proofErr w:type="spellEnd"/>
      <w:r w:rsidRPr="00E87D64">
        <w:rPr>
          <w:rFonts w:ascii="Calibri" w:eastAsia="Calibri" w:hAnsi="Calibri" w:cs="Calibri"/>
          <w:lang w:val="en-GB"/>
        </w:rPr>
        <w:t xml:space="preserve"> I. (2011), ‘Pains of probation: Effective practice and human rights’, </w:t>
      </w:r>
      <w:r w:rsidRPr="00E87D64">
        <w:rPr>
          <w:rFonts w:ascii="Calibri" w:eastAsia="Calibri" w:hAnsi="Calibri" w:cs="Calibri"/>
          <w:i/>
          <w:lang w:val="en-GB"/>
        </w:rPr>
        <w:t xml:space="preserve">International Journal of Offender </w:t>
      </w:r>
      <w:proofErr w:type="spellStart"/>
      <w:r w:rsidRPr="00E87D64">
        <w:rPr>
          <w:rFonts w:ascii="Calibri" w:eastAsia="Calibri" w:hAnsi="Calibri" w:cs="Calibri"/>
          <w:i/>
          <w:lang w:val="en-GB"/>
        </w:rPr>
        <w:t>Therayy</w:t>
      </w:r>
      <w:proofErr w:type="spellEnd"/>
      <w:r w:rsidRPr="00E87D64">
        <w:rPr>
          <w:rFonts w:ascii="Calibri" w:eastAsia="Calibri" w:hAnsi="Calibri" w:cs="Calibri"/>
          <w:i/>
          <w:lang w:val="en-GB"/>
        </w:rPr>
        <w:t xml:space="preserve"> and Comparative Criminology,</w:t>
      </w:r>
      <w:r w:rsidRPr="00E87D64">
        <w:rPr>
          <w:rFonts w:ascii="Calibri" w:eastAsia="Calibri" w:hAnsi="Calibri" w:cs="Calibri"/>
          <w:lang w:val="en-GB"/>
        </w:rPr>
        <w:t xml:space="preserve"> n° 55(4): 530-545</w:t>
      </w:r>
    </w:p>
    <w:p w:rsidR="00E87D64" w:rsidRPr="00E87D64" w:rsidRDefault="00E87D64" w:rsidP="000B1E4C">
      <w:pPr>
        <w:jc w:val="both"/>
        <w:rPr>
          <w:rFonts w:ascii="Calibri" w:eastAsia="Calibri" w:hAnsi="Calibri" w:cs="Calibri"/>
          <w:lang w:val="en-GB"/>
        </w:rPr>
      </w:pPr>
      <w:proofErr w:type="spellStart"/>
      <w:proofErr w:type="gramStart"/>
      <w:r w:rsidRPr="00E87D64">
        <w:rPr>
          <w:rFonts w:ascii="Calibri" w:eastAsia="Calibri" w:hAnsi="Calibri" w:cs="Calibri"/>
          <w:lang w:val="en-GB"/>
        </w:rPr>
        <w:t>Paparizzi</w:t>
      </w:r>
      <w:proofErr w:type="spellEnd"/>
      <w:r w:rsidRPr="00E87D64">
        <w:rPr>
          <w:rFonts w:ascii="Calibri" w:eastAsia="Calibri" w:hAnsi="Calibri" w:cs="Calibri"/>
          <w:lang w:val="en-GB"/>
        </w:rPr>
        <w:t>, M. and Guy, R. (2015).</w:t>
      </w:r>
      <w:proofErr w:type="gramEnd"/>
      <w:r w:rsidRPr="00E87D64">
        <w:rPr>
          <w:rFonts w:ascii="Calibri" w:eastAsia="Calibri" w:hAnsi="Calibri" w:cs="Calibri"/>
          <w:lang w:val="en-GB"/>
        </w:rPr>
        <w:t xml:space="preserve"> </w:t>
      </w:r>
      <w:proofErr w:type="gramStart"/>
      <w:r w:rsidRPr="00E87D64">
        <w:rPr>
          <w:rFonts w:ascii="Calibri" w:eastAsia="Calibri" w:hAnsi="Calibri" w:cs="Calibri"/>
          <w:lang w:val="en-GB"/>
        </w:rPr>
        <w:t>Professional competency.</w:t>
      </w:r>
      <w:proofErr w:type="gramEnd"/>
      <w:r w:rsidRPr="00E87D64">
        <w:rPr>
          <w:rFonts w:ascii="Calibri" w:eastAsia="Calibri" w:hAnsi="Calibri" w:cs="Calibri"/>
          <w:lang w:val="en-GB"/>
        </w:rPr>
        <w:t xml:space="preserve"> </w:t>
      </w:r>
      <w:proofErr w:type="gramStart"/>
      <w:r w:rsidRPr="00E87D64">
        <w:rPr>
          <w:rFonts w:ascii="Calibri" w:eastAsia="Calibri" w:hAnsi="Calibri" w:cs="Calibri"/>
          <w:lang w:val="en-GB"/>
        </w:rPr>
        <w:t>Turning the Ship Around: values and Core Competencies as Critical Elements of Successful Parole and Reentry.</w:t>
      </w:r>
      <w:proofErr w:type="gramEnd"/>
      <w:r w:rsidRPr="00E87D64">
        <w:rPr>
          <w:rFonts w:ascii="Calibri" w:eastAsia="Calibri" w:hAnsi="Calibri" w:cs="Calibri"/>
          <w:lang w:val="en-GB"/>
        </w:rPr>
        <w:t xml:space="preserve"> In Herzog-Evans (</w:t>
      </w:r>
      <w:proofErr w:type="gramStart"/>
      <w:r w:rsidRPr="00E87D64">
        <w:rPr>
          <w:rFonts w:ascii="Calibri" w:eastAsia="Calibri" w:hAnsi="Calibri" w:cs="Calibri"/>
          <w:lang w:val="en-GB"/>
        </w:rPr>
        <w:t>ed</w:t>
      </w:r>
      <w:proofErr w:type="gramEnd"/>
      <w:r w:rsidRPr="00E87D64">
        <w:rPr>
          <w:rFonts w:ascii="Calibri" w:eastAsia="Calibri" w:hAnsi="Calibri" w:cs="Calibri"/>
          <w:lang w:val="en-GB"/>
        </w:rPr>
        <w:t xml:space="preserve">.). </w:t>
      </w:r>
      <w:r w:rsidRPr="00E87D64">
        <w:rPr>
          <w:rFonts w:ascii="Calibri" w:eastAsia="Calibri" w:hAnsi="Calibri" w:cs="Calibri"/>
          <w:i/>
          <w:lang w:val="en-GB"/>
        </w:rPr>
        <w:t>Offender release and supervision: The role of Courts and the use of discretion</w:t>
      </w:r>
      <w:r w:rsidRPr="00E87D64">
        <w:rPr>
          <w:rFonts w:ascii="Calibri" w:eastAsia="Calibri" w:hAnsi="Calibri" w:cs="Calibri"/>
          <w:lang w:val="en-GB"/>
        </w:rPr>
        <w:t>. Nijmegen: Wolf Legal Publishers: 309-325</w:t>
      </w:r>
    </w:p>
    <w:p w:rsidR="000B1E4C" w:rsidRPr="00E87D64" w:rsidRDefault="000B1E4C" w:rsidP="000B1E4C">
      <w:pPr>
        <w:jc w:val="both"/>
        <w:rPr>
          <w:rStyle w:val="ital"/>
          <w:rFonts w:ascii="Calibri" w:hAnsi="Calibri"/>
          <w:i w:val="0"/>
          <w:lang w:val="en-US"/>
        </w:rPr>
      </w:pPr>
      <w:proofErr w:type="spellStart"/>
      <w:r w:rsidRPr="00E87D64">
        <w:rPr>
          <w:rFonts w:ascii="Calibri" w:hAnsi="Calibri"/>
          <w:lang w:val="en-US"/>
        </w:rPr>
        <w:t>Phelbs</w:t>
      </w:r>
      <w:proofErr w:type="spellEnd"/>
      <w:r w:rsidRPr="00E87D64">
        <w:rPr>
          <w:rFonts w:ascii="Calibri" w:hAnsi="Calibri"/>
          <w:lang w:val="en-US"/>
        </w:rPr>
        <w:t xml:space="preserve"> M. (2013), ‘The paradox of probation’, </w:t>
      </w:r>
      <w:r w:rsidRPr="00E87D64">
        <w:rPr>
          <w:rFonts w:ascii="Calibri" w:hAnsi="Calibri"/>
          <w:i/>
          <w:lang w:val="en-US"/>
        </w:rPr>
        <w:t>Law and Policy</w:t>
      </w:r>
      <w:r w:rsidRPr="00E87D64">
        <w:rPr>
          <w:rFonts w:ascii="Calibri" w:hAnsi="Calibri"/>
          <w:lang w:val="en-US"/>
        </w:rPr>
        <w:t>, n° 35(1-2): 51-80.</w:t>
      </w:r>
    </w:p>
    <w:p w:rsidR="00BA4945" w:rsidRPr="00E87D64" w:rsidRDefault="000B1E4C">
      <w:pPr>
        <w:pStyle w:val="Standard"/>
        <w:rPr>
          <w:rStyle w:val="ital"/>
          <w:rFonts w:ascii="Calibri" w:hAnsi="Calibri"/>
          <w:i w:val="0"/>
          <w:lang w:val="en-US"/>
        </w:rPr>
      </w:pPr>
      <w:r w:rsidRPr="00E87D64">
        <w:rPr>
          <w:rStyle w:val="ital"/>
          <w:rFonts w:ascii="Calibri" w:hAnsi="Calibri"/>
          <w:i w:val="0"/>
          <w:lang w:val="en-US"/>
        </w:rPr>
        <w:t xml:space="preserve">Robinson G., McNeill F. &amp; </w:t>
      </w:r>
      <w:proofErr w:type="spellStart"/>
      <w:r w:rsidRPr="00E87D64">
        <w:rPr>
          <w:rStyle w:val="ital"/>
          <w:rFonts w:ascii="Calibri" w:hAnsi="Calibri"/>
          <w:i w:val="0"/>
          <w:lang w:val="en-US"/>
        </w:rPr>
        <w:t>Maruna</w:t>
      </w:r>
      <w:proofErr w:type="spellEnd"/>
      <w:r w:rsidRPr="00E87D64">
        <w:rPr>
          <w:rStyle w:val="ital"/>
          <w:rFonts w:ascii="Calibri" w:hAnsi="Calibri"/>
          <w:i w:val="0"/>
          <w:lang w:val="en-US"/>
        </w:rPr>
        <w:t xml:space="preserve"> S. (2013), ‘Punishment in Society: The Improbable Persistence of Probation and Other Community Sanctions and Measures’, in Simon J. and Sparks J. (eds.), </w:t>
      </w:r>
      <w:proofErr w:type="gramStart"/>
      <w:r w:rsidRPr="00E87D64">
        <w:rPr>
          <w:rStyle w:val="ital"/>
          <w:rFonts w:ascii="Calibri" w:hAnsi="Calibri"/>
          <w:lang w:val="en-US"/>
        </w:rPr>
        <w:t>The</w:t>
      </w:r>
      <w:proofErr w:type="gramEnd"/>
      <w:r w:rsidRPr="00E87D64">
        <w:rPr>
          <w:rStyle w:val="ital"/>
          <w:rFonts w:ascii="Calibri" w:hAnsi="Calibri"/>
          <w:lang w:val="en-US"/>
        </w:rPr>
        <w:t xml:space="preserve"> Sage Handbook of Punishment and Society</w:t>
      </w:r>
      <w:r w:rsidRPr="00E87D64">
        <w:rPr>
          <w:rStyle w:val="ital"/>
          <w:rFonts w:ascii="Calibri" w:hAnsi="Calibri"/>
          <w:i w:val="0"/>
          <w:lang w:val="en-US"/>
        </w:rPr>
        <w:t>, London, Sage: 321-340</w:t>
      </w:r>
    </w:p>
    <w:p w:rsidR="00E87D64" w:rsidRPr="00E87D64" w:rsidRDefault="00E87D64">
      <w:pPr>
        <w:pStyle w:val="Standard"/>
        <w:rPr>
          <w:rFonts w:ascii="Calibri" w:hAnsi="Calibri"/>
          <w:i/>
          <w:lang w:val="en-US"/>
        </w:rPr>
      </w:pPr>
      <w:proofErr w:type="gramStart"/>
      <w:r w:rsidRPr="00E87D64">
        <w:rPr>
          <w:rStyle w:val="ital"/>
          <w:rFonts w:ascii="Calibri" w:hAnsi="Calibri"/>
          <w:i w:val="0"/>
          <w:lang w:val="en-US"/>
        </w:rPr>
        <w:t xml:space="preserve">Van Zyl Smit, D., Snacken, S. &amp; </w:t>
      </w:r>
      <w:proofErr w:type="spellStart"/>
      <w:r w:rsidRPr="00E87D64">
        <w:rPr>
          <w:rStyle w:val="ital"/>
          <w:rFonts w:ascii="Calibri" w:hAnsi="Calibri"/>
          <w:i w:val="0"/>
          <w:lang w:val="en-US"/>
        </w:rPr>
        <w:t>Yahes</w:t>
      </w:r>
      <w:proofErr w:type="spellEnd"/>
      <w:r w:rsidRPr="00E87D64">
        <w:rPr>
          <w:rStyle w:val="ital"/>
          <w:rFonts w:ascii="Calibri" w:hAnsi="Calibri"/>
          <w:i w:val="0"/>
          <w:lang w:val="en-US"/>
        </w:rPr>
        <w:t>, D. (2015).</w:t>
      </w:r>
      <w:proofErr w:type="gramEnd"/>
      <w:r w:rsidRPr="00E87D64">
        <w:rPr>
          <w:rStyle w:val="ital"/>
          <w:rFonts w:ascii="Calibri" w:hAnsi="Calibri"/>
          <w:i w:val="0"/>
          <w:lang w:val="en-US"/>
        </w:rPr>
        <w:t xml:space="preserve">  ‘One cannot legislate </w:t>
      </w:r>
      <w:proofErr w:type="gramStart"/>
      <w:r w:rsidRPr="00E87D64">
        <w:rPr>
          <w:rStyle w:val="ital"/>
          <w:rFonts w:ascii="Calibri" w:hAnsi="Calibri"/>
          <w:i w:val="0"/>
          <w:lang w:val="en-US"/>
        </w:rPr>
        <w:t>kindness’</w:t>
      </w:r>
      <w:proofErr w:type="gramEnd"/>
      <w:r w:rsidRPr="00E87D64">
        <w:rPr>
          <w:rStyle w:val="ital"/>
          <w:rFonts w:ascii="Calibri" w:hAnsi="Calibri"/>
          <w:i w:val="0"/>
          <w:lang w:val="en-US"/>
        </w:rPr>
        <w:t xml:space="preserve">: Ambiguities in European legal instruments on non-custodial sanctions. </w:t>
      </w:r>
      <w:r w:rsidRPr="00E87D64">
        <w:rPr>
          <w:rStyle w:val="ital"/>
          <w:rFonts w:ascii="Calibri" w:hAnsi="Calibri"/>
          <w:lang w:val="en-US"/>
        </w:rPr>
        <w:t>Punishment &amp; Society</w:t>
      </w:r>
      <w:r w:rsidRPr="00E87D64">
        <w:rPr>
          <w:rStyle w:val="ital"/>
          <w:rFonts w:ascii="Calibri" w:hAnsi="Calibri"/>
          <w:i w:val="0"/>
          <w:lang w:val="en-US"/>
        </w:rPr>
        <w:t>, n) 17(1), 32-6</w:t>
      </w:r>
    </w:p>
    <w:sectPr w:rsidR="00E87D64" w:rsidRPr="00E87D6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DF" w:rsidRDefault="00160BDF">
      <w:r>
        <w:separator/>
      </w:r>
    </w:p>
  </w:endnote>
  <w:endnote w:type="continuationSeparator" w:id="0">
    <w:p w:rsidR="00160BDF" w:rsidRDefault="0016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DF" w:rsidRDefault="00160BDF">
      <w:r>
        <w:rPr>
          <w:color w:val="000000"/>
        </w:rPr>
        <w:separator/>
      </w:r>
    </w:p>
  </w:footnote>
  <w:footnote w:type="continuationSeparator" w:id="0">
    <w:p w:rsidR="00160BDF" w:rsidRDefault="00160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07FA"/>
    <w:multiLevelType w:val="multilevel"/>
    <w:tmpl w:val="769A937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49C683E"/>
    <w:multiLevelType w:val="multilevel"/>
    <w:tmpl w:val="BAD61F9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516A1E94"/>
    <w:multiLevelType w:val="multilevel"/>
    <w:tmpl w:val="B9AC850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70467C7D"/>
    <w:multiLevelType w:val="multilevel"/>
    <w:tmpl w:val="166ECD0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A4945"/>
    <w:rsid w:val="00055F85"/>
    <w:rsid w:val="000B1E4C"/>
    <w:rsid w:val="00160BDF"/>
    <w:rsid w:val="002972F8"/>
    <w:rsid w:val="002E34FB"/>
    <w:rsid w:val="00506BAA"/>
    <w:rsid w:val="008D6BD4"/>
    <w:rsid w:val="00B07923"/>
    <w:rsid w:val="00BA4945"/>
    <w:rsid w:val="00D26951"/>
    <w:rsid w:val="00E8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tal">
    <w:name w:val="ital"/>
    <w:rsid w:val="000B1E4C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tal">
    <w:name w:val="ital"/>
    <w:rsid w:val="000B1E4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Moss</dc:creator>
  <cp:lastModifiedBy>Martine</cp:lastModifiedBy>
  <cp:revision>5</cp:revision>
  <dcterms:created xsi:type="dcterms:W3CDTF">2015-12-05T10:32:00Z</dcterms:created>
  <dcterms:modified xsi:type="dcterms:W3CDTF">2015-12-10T04:28:00Z</dcterms:modified>
</cp:coreProperties>
</file>